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456949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«10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22/1</w:t>
      </w:r>
    </w:p>
    <w:p w:rsidR="003D2D90" w:rsidRPr="00717919" w:rsidRDefault="003D2D90" w:rsidP="007179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7022" w:rsidRPr="001D3251" w:rsidRDefault="009A7022" w:rsidP="009A7022">
      <w:pPr>
        <w:ind w:right="5244"/>
        <w:jc w:val="both"/>
        <w:rPr>
          <w:b/>
        </w:rPr>
      </w:pPr>
      <w:r>
        <w:rPr>
          <w:b/>
        </w:rPr>
        <w:t>«</w:t>
      </w:r>
      <w:r w:rsidRPr="009723C9">
        <w:rPr>
          <w:b/>
        </w:rPr>
        <w:t>О</w:t>
      </w:r>
      <w:r>
        <w:rPr>
          <w:b/>
        </w:rPr>
        <w:t>б утверждении Положения о</w:t>
      </w:r>
      <w:r w:rsidRPr="009723C9">
        <w:rPr>
          <w:b/>
        </w:rPr>
        <w:t xml:space="preserve"> проведении эвакуационных мероприятий в чрезвычайных ситуациях</w:t>
      </w:r>
      <w:r w:rsidRPr="001D3251">
        <w:t xml:space="preserve"> </w:t>
      </w:r>
      <w:r w:rsidRPr="001D3251">
        <w:rPr>
          <w:b/>
        </w:rPr>
        <w:t>природного и техногенного характера»</w:t>
      </w:r>
    </w:p>
    <w:p w:rsidR="009A7022" w:rsidRPr="009723C9" w:rsidRDefault="009A7022" w:rsidP="009A7022">
      <w:pPr>
        <w:ind w:right="5244"/>
        <w:jc w:val="both"/>
        <w:rPr>
          <w:b/>
        </w:rPr>
      </w:pP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022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Кызыл-Арыг</w:t>
      </w:r>
    </w:p>
    <w:p w:rsidR="009A7022" w:rsidRDefault="009A7022" w:rsidP="009A7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22" w:rsidRDefault="009A7022" w:rsidP="009A7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723C9">
        <w:rPr>
          <w:rFonts w:ascii="Times New Roman" w:hAnsi="Times New Roman" w:cs="Times New Roman"/>
          <w:b/>
          <w:sz w:val="24"/>
          <w:szCs w:val="24"/>
        </w:rPr>
        <w:t>:</w:t>
      </w:r>
    </w:p>
    <w:p w:rsidR="009A7022" w:rsidRPr="009723C9" w:rsidRDefault="009A7022" w:rsidP="009A7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эвакуационных мероприятий в чрезвычайных ситуациях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Кызыл-Арыг </w:t>
      </w:r>
      <w:r w:rsidRPr="009723C9">
        <w:rPr>
          <w:rFonts w:ascii="Times New Roman" w:hAnsi="Times New Roman" w:cs="Times New Roman"/>
          <w:sz w:val="24"/>
          <w:szCs w:val="24"/>
        </w:rPr>
        <w:t>и перечень пунктов временного размещения и про</w:t>
      </w:r>
      <w:r>
        <w:rPr>
          <w:rFonts w:ascii="Times New Roman" w:hAnsi="Times New Roman" w:cs="Times New Roman"/>
          <w:sz w:val="24"/>
          <w:szCs w:val="24"/>
        </w:rPr>
        <w:t>живания эвакуируемого населения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 Рекомендовать, руководителям организаций: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9A7022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 Информацию о состоянии и готовности объектов представлять в </w:t>
      </w:r>
      <w:r>
        <w:rPr>
          <w:rFonts w:ascii="Times New Roman" w:hAnsi="Times New Roman" w:cs="Times New Roman"/>
          <w:sz w:val="24"/>
          <w:szCs w:val="24"/>
        </w:rPr>
        <w:t xml:space="preserve">местную </w:t>
      </w:r>
      <w:r w:rsidRPr="009723C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Кызыл-Арыг</w:t>
      </w:r>
      <w:r w:rsidRPr="009723C9">
        <w:rPr>
          <w:rFonts w:ascii="Times New Roman" w:hAnsi="Times New Roman" w:cs="Times New Roman"/>
          <w:sz w:val="24"/>
          <w:szCs w:val="24"/>
        </w:rPr>
        <w:t xml:space="preserve"> ежегодно до 31 декабря.</w:t>
      </w:r>
    </w:p>
    <w:p w:rsidR="009A7022" w:rsidRPr="004259A6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5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9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</w:t>
      </w:r>
      <w:r>
        <w:rPr>
          <w:rFonts w:ascii="Times New Roman" w:hAnsi="Times New Roman" w:cs="Times New Roman"/>
          <w:sz w:val="24"/>
          <w:szCs w:val="24"/>
        </w:rPr>
        <w:t>озлагаю на себя.</w:t>
      </w:r>
    </w:p>
    <w:p w:rsidR="009A7022" w:rsidRPr="004259A6" w:rsidRDefault="009A7022" w:rsidP="009A7022">
      <w:pPr>
        <w:pStyle w:val="ac"/>
        <w:rPr>
          <w:rFonts w:ascii="Times New Roman" w:hAnsi="Times New Roman" w:cs="Times New Roman"/>
        </w:rPr>
      </w:pPr>
    </w:p>
    <w:p w:rsidR="009A7022" w:rsidRDefault="009A7022" w:rsidP="009A7022">
      <w:pPr>
        <w:pStyle w:val="ac"/>
        <w:rPr>
          <w:rFonts w:ascii="Times New Roman" w:hAnsi="Times New Roman" w:cs="Times New Roman"/>
        </w:rPr>
      </w:pPr>
    </w:p>
    <w:p w:rsidR="009A7022" w:rsidRDefault="009A7022" w:rsidP="009A7022">
      <w:pPr>
        <w:pStyle w:val="ac"/>
        <w:rPr>
          <w:rFonts w:ascii="Times New Roman" w:hAnsi="Times New Roman" w:cs="Times New Roman"/>
        </w:rPr>
      </w:pPr>
    </w:p>
    <w:p w:rsidR="009A7022" w:rsidRDefault="009A7022" w:rsidP="009A7022">
      <w:pPr>
        <w:pStyle w:val="ac"/>
        <w:rPr>
          <w:rFonts w:ascii="Times New Roman" w:hAnsi="Times New Roman" w:cs="Times New Roman"/>
        </w:rPr>
      </w:pPr>
    </w:p>
    <w:p w:rsidR="009A7022" w:rsidRDefault="009A7022" w:rsidP="009A7022">
      <w:pPr>
        <w:pStyle w:val="ac"/>
        <w:rPr>
          <w:rFonts w:ascii="Times New Roman" w:hAnsi="Times New Roman" w:cs="Times New Roman"/>
        </w:rPr>
      </w:pPr>
    </w:p>
    <w:p w:rsidR="009A7022" w:rsidRDefault="009A7022" w:rsidP="009A702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Председатель:        _______    /Ш.О. </w:t>
      </w:r>
      <w:proofErr w:type="spellStart"/>
      <w:r>
        <w:rPr>
          <w:rFonts w:ascii="Times New Roman" w:hAnsi="Times New Roman" w:cs="Times New Roman"/>
        </w:rPr>
        <w:t>Ооржак</w:t>
      </w:r>
      <w:proofErr w:type="spellEnd"/>
      <w:r>
        <w:rPr>
          <w:rFonts w:ascii="Times New Roman" w:hAnsi="Times New Roman" w:cs="Times New Roman"/>
        </w:rPr>
        <w:t>/</w:t>
      </w:r>
    </w:p>
    <w:p w:rsidR="009A7022" w:rsidRDefault="009A7022" w:rsidP="009A7022">
      <w:pPr>
        <w:pStyle w:val="aa"/>
        <w:spacing w:after="60"/>
        <w:ind w:firstLine="595"/>
        <w:jc w:val="both"/>
      </w:pPr>
    </w:p>
    <w:p w:rsidR="009A7022" w:rsidRDefault="009A7022" w:rsidP="009A7022"/>
    <w:p w:rsidR="009A7022" w:rsidRDefault="009A7022" w:rsidP="009A7022"/>
    <w:p w:rsidR="009A7022" w:rsidRDefault="009A7022" w:rsidP="009A7022"/>
    <w:p w:rsidR="009A7022" w:rsidRDefault="009A7022" w:rsidP="009A7022"/>
    <w:p w:rsidR="009A7022" w:rsidRPr="009723C9" w:rsidRDefault="009A7022" w:rsidP="009A7022"/>
    <w:p w:rsidR="009A7022" w:rsidRPr="009723C9" w:rsidRDefault="009A7022" w:rsidP="009A7022">
      <w:r>
        <w:lastRenderedPageBreak/>
        <w:t xml:space="preserve">                        </w:t>
      </w:r>
    </w:p>
    <w:p w:rsidR="009A7022" w:rsidRPr="009723C9" w:rsidRDefault="009A7022" w:rsidP="009A70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A7022" w:rsidRDefault="009A7022" w:rsidP="009A70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A7022" w:rsidRPr="009723C9" w:rsidRDefault="009A7022" w:rsidP="009A70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723C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A7022" w:rsidRDefault="009A7022" w:rsidP="002E58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="002E588B">
        <w:rPr>
          <w:rFonts w:ascii="Times New Roman" w:hAnsi="Times New Roman" w:cs="Times New Roman"/>
          <w:sz w:val="24"/>
          <w:szCs w:val="24"/>
        </w:rPr>
        <w:t xml:space="preserve"> Кызыл-Арыг</w:t>
      </w:r>
    </w:p>
    <w:p w:rsidR="009A7022" w:rsidRDefault="009A7022" w:rsidP="009A70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от </w:t>
      </w:r>
      <w:r w:rsidR="002E588B">
        <w:rPr>
          <w:rFonts w:ascii="Times New Roman" w:hAnsi="Times New Roman" w:cs="Times New Roman"/>
          <w:sz w:val="24"/>
          <w:szCs w:val="24"/>
        </w:rPr>
        <w:t>10 апреля 2018 года № 22/1</w:t>
      </w:r>
    </w:p>
    <w:p w:rsidR="009A7022" w:rsidRPr="009723C9" w:rsidRDefault="009A7022" w:rsidP="009A70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022" w:rsidRPr="009723C9" w:rsidRDefault="009A7022" w:rsidP="009A7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7022" w:rsidRPr="009723C9" w:rsidRDefault="009A7022" w:rsidP="009A7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ПОЛОЖЕНИЕ</w:t>
      </w:r>
    </w:p>
    <w:p w:rsidR="009A7022" w:rsidRDefault="009A7022" w:rsidP="009A7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 проведении эвакуационных мероприятий в чрезвычайных ситуациях </w:t>
      </w:r>
    </w:p>
    <w:p w:rsidR="009A7022" w:rsidRPr="009723C9" w:rsidRDefault="009A7022" w:rsidP="009A7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="002E588B">
        <w:rPr>
          <w:rFonts w:ascii="Times New Roman" w:hAnsi="Times New Roman" w:cs="Times New Roman"/>
          <w:sz w:val="24"/>
          <w:szCs w:val="24"/>
        </w:rPr>
        <w:t xml:space="preserve"> Кызыл-Арыг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022" w:rsidRPr="009723C9" w:rsidRDefault="009A7022" w:rsidP="009A7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="002E588B">
        <w:rPr>
          <w:rFonts w:ascii="Times New Roman" w:hAnsi="Times New Roman" w:cs="Times New Roman"/>
          <w:sz w:val="24"/>
          <w:szCs w:val="24"/>
        </w:rPr>
        <w:t xml:space="preserve"> Кызыл-Ары</w:t>
      </w:r>
      <w:proofErr w:type="gramStart"/>
      <w:r w:rsidR="002E588B">
        <w:rPr>
          <w:rFonts w:ascii="Times New Roman" w:hAnsi="Times New Roman" w:cs="Times New Roman"/>
          <w:sz w:val="24"/>
          <w:szCs w:val="24"/>
        </w:rPr>
        <w:t>г</w:t>
      </w:r>
      <w:r w:rsidRPr="009723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) при возникновении чрезвычайных ситуаций (далее - ЧС).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</w:t>
      </w:r>
      <w:r w:rsidR="002E588B">
        <w:rPr>
          <w:rFonts w:ascii="Times New Roman" w:hAnsi="Times New Roman" w:cs="Times New Roman"/>
          <w:sz w:val="24"/>
          <w:szCs w:val="24"/>
        </w:rPr>
        <w:t>председателем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населенного пункта.</w:t>
      </w:r>
    </w:p>
    <w:p w:rsidR="009A7022" w:rsidRPr="009723C9" w:rsidRDefault="009A7022" w:rsidP="009A7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местная </w:t>
      </w:r>
      <w:r w:rsidRPr="00972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</w:t>
      </w:r>
      <w:r w:rsidR="002E588B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 xml:space="preserve">ЧС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2E588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23C9">
        <w:rPr>
          <w:rFonts w:ascii="Times New Roman" w:hAnsi="Times New Roman" w:cs="Times New Roman"/>
          <w:sz w:val="24"/>
          <w:szCs w:val="24"/>
        </w:rPr>
        <w:t xml:space="preserve"> с привлечением предприятий 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2.2. При ЧС локального и местного характера организацию и проведение эвакуационных мероприятий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1-й этап: эвакуация населения из зон ЧС на общественные площади (пункты временного размещения - ПВР), расположенные вне этих зон. Под </w:t>
      </w:r>
      <w:r>
        <w:rPr>
          <w:rFonts w:ascii="Times New Roman" w:hAnsi="Times New Roman" w:cs="Times New Roman"/>
          <w:sz w:val="24"/>
          <w:szCs w:val="24"/>
        </w:rPr>
        <w:t>ПВР исполь</w:t>
      </w:r>
      <w:r w:rsidR="002E588B">
        <w:rPr>
          <w:rFonts w:ascii="Times New Roman" w:hAnsi="Times New Roman" w:cs="Times New Roman"/>
          <w:sz w:val="24"/>
          <w:szCs w:val="24"/>
        </w:rPr>
        <w:t>зуются МБУ сельский клуб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3C9">
        <w:rPr>
          <w:rFonts w:ascii="Times New Roman" w:hAnsi="Times New Roman" w:cs="Times New Roman"/>
          <w:sz w:val="24"/>
          <w:szCs w:val="24"/>
        </w:rPr>
        <w:t>учебные заведения и другие соответствующие помещения;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 xml:space="preserve">Население, проживающее в </w:t>
      </w:r>
      <w:r w:rsidRPr="009723C9">
        <w:rPr>
          <w:rFonts w:ascii="Times New Roman" w:hAnsi="Times New Roman" w:cs="Times New Roman"/>
          <w:sz w:val="24"/>
          <w:szCs w:val="24"/>
        </w:rPr>
        <w:lastRenderedPageBreak/>
        <w:t>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9A7022" w:rsidRPr="009723C9" w:rsidRDefault="009A7022" w:rsidP="009A7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 Обеспечение эвакуационных мероприятий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развертывание медицинских пунктов на ПВР, организация на них дежурства медицинского персонала;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потребности в дополнительном развертывании лечебной базы;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санитарным состоянием мест ПВР и ПВП населения;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психологической и психиатрической помощи пострадавшим в ЧС;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23C9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Тандинскому</w:t>
      </w:r>
      <w:proofErr w:type="spellEnd"/>
      <w:r w:rsidR="002E588B">
        <w:rPr>
          <w:rFonts w:ascii="Times New Roman" w:hAnsi="Times New Roman" w:cs="Times New Roman"/>
          <w:sz w:val="24"/>
          <w:szCs w:val="24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включают следующие мероприятия:</w:t>
      </w:r>
    </w:p>
    <w:p w:rsidR="009A7022" w:rsidRPr="009723C9" w:rsidRDefault="009A7022" w:rsidP="009A7022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9A7022" w:rsidRPr="009723C9" w:rsidRDefault="009A7022" w:rsidP="009A7022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9A7022" w:rsidRPr="009723C9" w:rsidRDefault="009A7022" w:rsidP="009A7022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9A7022" w:rsidRPr="009723C9" w:rsidRDefault="009A7022" w:rsidP="009A7022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объектов в установленном порядке на этот период;</w:t>
      </w:r>
    </w:p>
    <w:p w:rsidR="009A7022" w:rsidRPr="009723C9" w:rsidRDefault="009A7022" w:rsidP="009A7022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регулирование дорожного движения на маршрутах эвакуации;</w:t>
      </w:r>
    </w:p>
    <w:p w:rsidR="009A7022" w:rsidRPr="009723C9" w:rsidRDefault="009A7022" w:rsidP="009A7022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сопровождение автоколонн с эвакуированным населением;</w:t>
      </w:r>
    </w:p>
    <w:p w:rsidR="009A7022" w:rsidRPr="009723C9" w:rsidRDefault="009A7022" w:rsidP="009A7022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>- обеспечение режима допуска транспорта в зоны ЧС.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</w:t>
      </w:r>
      <w:r w:rsidR="002E588B">
        <w:rPr>
          <w:rFonts w:ascii="Times New Roman" w:hAnsi="Times New Roman" w:cs="Times New Roman"/>
          <w:sz w:val="24"/>
          <w:szCs w:val="24"/>
        </w:rPr>
        <w:t xml:space="preserve">ждан организует и </w:t>
      </w:r>
      <w:proofErr w:type="gramStart"/>
      <w:r w:rsidR="002E588B">
        <w:rPr>
          <w:rFonts w:ascii="Times New Roman" w:hAnsi="Times New Roman" w:cs="Times New Roman"/>
          <w:sz w:val="24"/>
          <w:szCs w:val="24"/>
        </w:rPr>
        <w:t>осуществляет специалист администрации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включают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9A7022" w:rsidRPr="009723C9" w:rsidRDefault="009A7022" w:rsidP="009A70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регистрация эвакуированного населения;</w:t>
      </w:r>
    </w:p>
    <w:p w:rsidR="009A7022" w:rsidRPr="009723C9" w:rsidRDefault="009A7022" w:rsidP="009A7022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="002E588B">
        <w:rPr>
          <w:rFonts w:ascii="Times New Roman" w:hAnsi="Times New Roman" w:cs="Times New Roman"/>
          <w:sz w:val="24"/>
          <w:szCs w:val="24"/>
        </w:rPr>
        <w:t xml:space="preserve"> Кызыл-Арыг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9A7022" w:rsidRPr="009723C9" w:rsidRDefault="009A7022" w:rsidP="002E5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привлечением администрации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="002E588B">
        <w:rPr>
          <w:rFonts w:ascii="Times New Roman" w:hAnsi="Times New Roman" w:cs="Times New Roman"/>
          <w:sz w:val="24"/>
          <w:szCs w:val="24"/>
        </w:rPr>
        <w:t xml:space="preserve"> Кызыл-Арыг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Pr="009723C9">
        <w:rPr>
          <w:rFonts w:ascii="Times New Roman" w:hAnsi="Times New Roman" w:cs="Times New Roman"/>
          <w:sz w:val="24"/>
          <w:szCs w:val="24"/>
        </w:rPr>
        <w:t xml:space="preserve"> района. 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Обеспечение предметами первой необходимости осуществляет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</w:t>
      </w:r>
      <w:r w:rsidR="002E588B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 xml:space="preserve">ЧС </w:t>
      </w:r>
      <w:r w:rsidR="002E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8B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Pr="009723C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ОПБ задействуется чрезвычайный материальный резерв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3.6. Организация управления, оповещения и связи осуществляется председателем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 xml:space="preserve">комиссии Администрации района через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</w:t>
      </w:r>
      <w:r w:rsidR="002E588B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>ЧС и предусматривает: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принятие решения о необходимости и порядке проведения эваку</w:t>
      </w:r>
      <w:r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Pr="009723C9">
        <w:rPr>
          <w:rFonts w:ascii="Times New Roman" w:hAnsi="Times New Roman" w:cs="Times New Roman"/>
          <w:sz w:val="24"/>
          <w:szCs w:val="24"/>
        </w:rPr>
        <w:t>мероприятий, их обеспечения и первоочередного жизнеобеспечения пострадавшего населения;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(при необходимости)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>комиссии и руководителей привлекаемых организаций;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уточнение численности населения, подлежащего эвакуации, составление списков, эвакуируемых;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зданий и помещений, планируемых для размещения населения;</w:t>
      </w:r>
    </w:p>
    <w:p w:rsidR="009A7022" w:rsidRPr="009723C9" w:rsidRDefault="009A7022" w:rsidP="009A702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населения о начале эвакуации.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9A7022" w:rsidRPr="009723C9" w:rsidRDefault="009A7022" w:rsidP="009A7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3.7.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 w:rsidR="002E588B">
        <w:rPr>
          <w:rFonts w:ascii="Times New Roman" w:hAnsi="Times New Roman" w:cs="Times New Roman"/>
          <w:sz w:val="24"/>
          <w:szCs w:val="24"/>
        </w:rPr>
        <w:t>сумона</w:t>
      </w:r>
      <w:bookmarkStart w:id="0" w:name="_GoBack"/>
      <w:bookmarkEnd w:id="0"/>
      <w:r w:rsidRPr="009723C9">
        <w:rPr>
          <w:rFonts w:ascii="Times New Roman" w:hAnsi="Times New Roman" w:cs="Times New Roman"/>
          <w:sz w:val="24"/>
          <w:szCs w:val="24"/>
        </w:rPr>
        <w:t xml:space="preserve"> и средств организаций, находящихся в зонах ЧС, установленным порядком по фактическим расходам.</w:t>
      </w: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2E588B"/>
    <w:rsid w:val="00375BEC"/>
    <w:rsid w:val="003D2D90"/>
    <w:rsid w:val="003D3F1B"/>
    <w:rsid w:val="00456949"/>
    <w:rsid w:val="00645E3B"/>
    <w:rsid w:val="00680809"/>
    <w:rsid w:val="00717919"/>
    <w:rsid w:val="007B0F57"/>
    <w:rsid w:val="007F3041"/>
    <w:rsid w:val="00902039"/>
    <w:rsid w:val="009A7022"/>
    <w:rsid w:val="00A40AD7"/>
    <w:rsid w:val="00AC48E6"/>
    <w:rsid w:val="00B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HTML">
    <w:name w:val="HTML Preformatted"/>
    <w:basedOn w:val="a"/>
    <w:link w:val="HTML0"/>
    <w:rsid w:val="0071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91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717919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9A7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rsid w:val="009A702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A70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702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HTML">
    <w:name w:val="HTML Preformatted"/>
    <w:basedOn w:val="a"/>
    <w:link w:val="HTML0"/>
    <w:rsid w:val="0071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91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717919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9A7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rsid w:val="009A702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A70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702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2018-08-31T05:56:00Z</dcterms:created>
  <dcterms:modified xsi:type="dcterms:W3CDTF">2018-09-04T02:06:00Z</dcterms:modified>
</cp:coreProperties>
</file>